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inversely associated with Atherogenic dyslipidemia (high TG + low HDL) (odds ratio per 1-SD 0.84 (95% CI 0.68 to 1.04), false discovery rate q 0.191) among 12287 adults aged 20 years or older (a weighted Atherogenic dyslipidemia (high TG + low HDL) prevalence of 13.0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0.84 (95% CI 0.68 to 1.04)</w:t>
            </w:r>
          </w:p>
        </w:tc>
        <w:tc>
          <w:tcPr>
            <w:tcW w:type="dxa" w:w="1234"/>
          </w:tcPr>
          <w:p>
            <w:r>
              <w:t>0.153</w:t>
            </w:r>
          </w:p>
        </w:tc>
        <w:tc>
          <w:tcPr>
            <w:tcW w:type="dxa" w:w="1234"/>
          </w:tcPr>
          <w:p>
            <w:r>
              <w:t>0.191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Liver stiffness, kPa (exposure)</w:t>
            </w:r>
          </w:p>
        </w:tc>
        <w:tc>
          <w:tcPr>
            <w:tcW w:type="dxa" w:w="2160"/>
          </w:tcPr>
          <w:p>
            <w:r>
              <w:t>5.8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6.2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