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Male sex and Atherogenic dyslipidemia (high TG + low HDL)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Male sex was positively associated with Atherogenic dyslipidemia (high TG + low HDL) (odds ratio 1.17 (95% CI 1.03 to 1.34), false discovery rate q 0.027) among 12287 adults aged 20 years or older (a weighted Atherogenic dyslipidemia (high TG + low HDL) prevalence of 13.0 percent, survey-weighted). Confounders: unadjusted.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Adjustment for this exposure: unadjusted.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Male sex</w:t>
            </w:r>
          </w:p>
        </w:tc>
        <w:tc>
          <w:tcPr>
            <w:tcW w:type="dxa" w:w="1234"/>
          </w:tcPr>
          <w:p>
            <w:r>
              <w:t>Atherogenic dyslipidemia (high TG + low HDL)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1.17 (95% CI 1.03 to 1.34)</w:t>
            </w:r>
          </w:p>
        </w:tc>
        <w:tc>
          <w:tcPr>
            <w:tcW w:type="dxa" w:w="1234"/>
          </w:tcPr>
          <w:p>
            <w:r>
              <w:t>0.019</w:t>
            </w:r>
          </w:p>
        </w:tc>
        <w:tc>
          <w:tcPr>
            <w:tcW w:type="dxa" w:w="1234"/>
          </w:tcPr>
          <w:p>
            <w:r>
              <w:t>0.027</w:t>
            </w:r>
          </w:p>
        </w:tc>
        <w:tc>
          <w:tcPr>
            <w:tcW w:type="dxa" w:w="1234"/>
          </w:tcPr>
          <w:p>
            <w:r>
              <w:t>12287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Atherogenic dyslipidemia (high TG + low HDL)</w:t>
            </w:r>
          </w:p>
        </w:tc>
        <w:tc>
          <w:tcPr>
            <w:tcW w:type="dxa" w:w="2160"/>
          </w:tcPr>
          <w:p>
            <w:r>
              <w:t>Atherogenic dyslipidemia (high TG + low HDL)</w:t>
            </w:r>
          </w:p>
        </w:tc>
      </w:tr>
      <w:tr>
        <w:tc>
          <w:tcPr>
            <w:tcW w:type="dxa" w:w="2160"/>
          </w:tcPr>
          <w:p>
            <w:r>
              <w:t>Male sex (exposure)</w:t>
            </w:r>
          </w:p>
        </w:tc>
        <w:tc>
          <w:tcPr>
            <w:tcW w:type="dxa" w:w="2160"/>
          </w:tcPr>
          <w:p>
            <w:r>
              <w:t>48.6%</w:t>
            </w:r>
          </w:p>
        </w:tc>
        <w:tc>
          <w:tcPr>
            <w:tcW w:type="dxa" w:w="2160"/>
          </w:tcPr>
          <w:p>
            <w:r>
              <w:t>48.1%</w:t>
            </w:r>
          </w:p>
        </w:tc>
        <w:tc>
          <w:tcPr>
            <w:tcW w:type="dxa" w:w="2160"/>
          </w:tcPr>
          <w:p>
            <w:r>
              <w:t>52.1%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47.9</w:t>
            </w:r>
          </w:p>
        </w:tc>
        <w:tc>
          <w:tcPr>
            <w:tcW w:type="dxa" w:w="2160"/>
          </w:tcPr>
          <w:p>
            <w:r>
              <w:t>47.7</w:t>
            </w:r>
          </w:p>
        </w:tc>
        <w:tc>
          <w:tcPr>
            <w:tcW w:type="dxa" w:w="2160"/>
          </w:tcPr>
          <w:p>
            <w:r>
              <w:t>49.3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48.6%</w:t>
            </w:r>
          </w:p>
        </w:tc>
        <w:tc>
          <w:tcPr>
            <w:tcW w:type="dxa" w:w="2160"/>
          </w:tcPr>
          <w:p>
            <w:r>
              <w:t>48.1%</w:t>
            </w:r>
          </w:p>
        </w:tc>
        <w:tc>
          <w:tcPr>
            <w:tcW w:type="dxa" w:w="2160"/>
          </w:tcPr>
          <w:p>
            <w:r>
              <w:t>52.1%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29.1</w:t>
            </w:r>
          </w:p>
        </w:tc>
        <w:tc>
          <w:tcPr>
            <w:tcW w:type="dxa" w:w="2160"/>
          </w:tcPr>
          <w:p>
            <w:r>
              <w:t>28.6</w:t>
            </w:r>
          </w:p>
        </w:tc>
        <w:tc>
          <w:tcPr>
            <w:tcW w:type="dxa" w:w="2160"/>
          </w:tcPr>
          <w:p>
            <w:r>
              <w:t>32.4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43.9%</w:t>
            </w:r>
          </w:p>
        </w:tc>
        <w:tc>
          <w:tcPr>
            <w:tcW w:type="dxa" w:w="2160"/>
          </w:tcPr>
          <w:p>
            <w:r>
              <w:t>42.8%</w:t>
            </w:r>
          </w:p>
        </w:tc>
        <w:tc>
          <w:tcPr>
            <w:tcW w:type="dxa" w:w="2160"/>
          </w:tcPr>
          <w:p>
            <w:r>
              <w:t>51.0%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81.1%</w:t>
            </w:r>
          </w:p>
        </w:tc>
        <w:tc>
          <w:tcPr>
            <w:tcW w:type="dxa" w:w="2160"/>
          </w:tcPr>
          <w:p>
            <w:r>
              <w:t>81.7%</w:t>
            </w:r>
          </w:p>
        </w:tc>
        <w:tc>
          <w:tcPr>
            <w:tcW w:type="dxa" w:w="2160"/>
          </w:tcPr>
          <w:p>
            <w:r>
              <w:t>77.7%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