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fat mass, kg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Total fat mass, kg was positively associated with Atherogenic dyslipidemia (high TG + low HDL) (odds ratio per 1-SD 1.57 (95% CI 1.39 to 1.78), false discovery rate q &lt;0.001) among 12287 adults aged 20 years or older (a weighted Atherogenic dyslipidemia (high TG + low HDL) prevalence of 13.0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fat mass, kg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1.57 (95% CI 1.39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Total fat mass, kg (exposure)</w:t>
            </w:r>
          </w:p>
        </w:tc>
        <w:tc>
          <w:tcPr>
            <w:tcW w:type="dxa" w:w="2160"/>
          </w:tcPr>
          <w:p>
            <w:r>
              <w:t>27.8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  <w:tc>
          <w:tcPr>
            <w:tcW w:type="dxa" w:w="2160"/>
          </w:tcPr>
          <w:p>
            <w:r>
              <w:t>32.5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