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Atherogenic dyslipidemia (high TG + low HDL) (odds ratio per 1-SD 1.77 (95% CI 1.66 to 1.90), false discovery rate q &lt;0.001) among 12287 adults aged 20 years or older (a weighted Atherogenic dyslipidemia (high TG + low HDL) prevalence of 13.0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1.77 (95% CI 1.66 to 1.90)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99.4</w:t>
            </w:r>
          </w:p>
        </w:tc>
        <w:tc>
          <w:tcPr>
            <w:tcW w:type="dxa" w:w="2160"/>
          </w:tcPr>
          <w:p>
            <w:r>
              <w:t>98.0</w:t>
            </w:r>
          </w:p>
        </w:tc>
        <w:tc>
          <w:tcPr>
            <w:tcW w:type="dxa" w:w="2160"/>
          </w:tcPr>
          <w:p>
            <w:r>
              <w:t>108.6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