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White blood cell count, 10^3/uL and Atherogenic dyslipidemia (high TG + low HDL)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White blood cell count, 10^3/uL was positively associated with Atherogenic dyslipidemia (high TG + low HDL) (odds ratio per 1-SD 1.42 (95% CI 1.30 to 1.56), false discovery rate q &lt;0.001) among 12287 adults aged 20 years or older (a weighted Atherogenic dyslipidemia (high TG + low HDL) prevalence of 13.0 percent, survey-weighted). Confounders: Age, years, Male sex, Body mass index, kg/m2,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sex, Body mass index, kg/m2,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White blood cell count, 10^3/uL</w:t>
            </w:r>
          </w:p>
        </w:tc>
        <w:tc>
          <w:tcPr>
            <w:tcW w:type="dxa" w:w="1234"/>
          </w:tcPr>
          <w:p>
            <w:r>
              <w:t>Atherogenic dyslipidemia (high TG + low HDL)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1.42 (95% CI 1.30 to 1.56)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12287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Atherogenic dyslipidemia (high TG + low HDL)</w:t>
            </w:r>
          </w:p>
        </w:tc>
        <w:tc>
          <w:tcPr>
            <w:tcW w:type="dxa" w:w="2160"/>
          </w:tcPr>
          <w:p>
            <w:r>
              <w:t>Atherogenic dyslipidemia (high TG + low HDL)</w:t>
            </w:r>
          </w:p>
        </w:tc>
      </w:tr>
      <w:tr>
        <w:tc>
          <w:tcPr>
            <w:tcW w:type="dxa" w:w="2160"/>
          </w:tcPr>
          <w:p>
            <w:r>
              <w:t>White blood cell count, 10^3/uL (exposure)</w:t>
            </w:r>
          </w:p>
        </w:tc>
        <w:tc>
          <w:tcPr>
            <w:tcW w:type="dxa" w:w="2160"/>
          </w:tcPr>
          <w:p>
            <w:r>
              <w:t>6.8</w:t>
            </w:r>
          </w:p>
        </w:tc>
        <w:tc>
          <w:tcPr>
            <w:tcW w:type="dxa" w:w="2160"/>
          </w:tcPr>
          <w:p>
            <w:r>
              <w:t>6.7</w:t>
            </w:r>
          </w:p>
        </w:tc>
        <w:tc>
          <w:tcPr>
            <w:tcW w:type="dxa" w:w="2160"/>
          </w:tcPr>
          <w:p>
            <w:r>
              <w:t>7.6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47.9</w:t>
            </w:r>
          </w:p>
        </w:tc>
        <w:tc>
          <w:tcPr>
            <w:tcW w:type="dxa" w:w="2160"/>
          </w:tcPr>
          <w:p>
            <w:r>
              <w:t>47.7</w:t>
            </w:r>
          </w:p>
        </w:tc>
        <w:tc>
          <w:tcPr>
            <w:tcW w:type="dxa" w:w="2160"/>
          </w:tcPr>
          <w:p>
            <w:r>
              <w:t>49.3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48.6%</w:t>
            </w:r>
          </w:p>
        </w:tc>
        <w:tc>
          <w:tcPr>
            <w:tcW w:type="dxa" w:w="2160"/>
          </w:tcPr>
          <w:p>
            <w:r>
              <w:t>48.1%</w:t>
            </w:r>
          </w:p>
        </w:tc>
        <w:tc>
          <w:tcPr>
            <w:tcW w:type="dxa" w:w="2160"/>
          </w:tcPr>
          <w:p>
            <w:r>
              <w:t>52.1%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28.6</w:t>
            </w:r>
          </w:p>
        </w:tc>
        <w:tc>
          <w:tcPr>
            <w:tcW w:type="dxa" w:w="2160"/>
          </w:tcPr>
          <w:p>
            <w:r>
              <w:t>32.4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43.9%</w:t>
            </w:r>
          </w:p>
        </w:tc>
        <w:tc>
          <w:tcPr>
            <w:tcW w:type="dxa" w:w="2160"/>
          </w:tcPr>
          <w:p>
            <w:r>
              <w:t>42.8%</w:t>
            </w:r>
          </w:p>
        </w:tc>
        <w:tc>
          <w:tcPr>
            <w:tcW w:type="dxa" w:w="2160"/>
          </w:tcPr>
          <w:p>
            <w:r>
              <w:t>51.0%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81.1%</w:t>
            </w:r>
          </w:p>
        </w:tc>
        <w:tc>
          <w:tcPr>
            <w:tcW w:type="dxa" w:w="2160"/>
          </w:tcPr>
          <w:p>
            <w:r>
              <w:t>81.7%</w:t>
            </w:r>
          </w:p>
        </w:tc>
        <w:tc>
          <w:tcPr>
            <w:tcW w:type="dxa" w:w="2160"/>
          </w:tcPr>
          <w:p>
            <w:r>
              <w:t>77.7%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