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Hemoglobin, g/dL and Body fat, %</w:t>
      </w:r>
    </w:p>
    <w:p>
      <w:r>
        <w:t>NHANES · National Health and Nutrition Examination Survey · association analysis · linear beta</w:t>
      </w:r>
    </w:p>
    <w:p>
      <w:pPr>
        <w:pStyle w:val="Heading1"/>
      </w:pPr>
      <w:r>
        <w:t>Abstract</w:t>
      </w:r>
    </w:p>
    <w:p>
      <w:r>
        <w:t>In the National Health and Nutrition Examination Survey, Hemoglobin, g/dL was positively associated with Body fat, % (beta coefficient per 1-SD 0.35 (95% CI 0.11 to 0.58), false discovery rate q 0.008) among 8785 adults aged 20 years or older (survey-weighted). Confounders: Age, years, Male sex, Ever smoking (past/current), Ever alcohol (past/current). This cross-sectional association is hypothesis-generating and requires prospective confirmation.</w:t>
      </w:r>
    </w:p>
    <w:p>
      <w:pPr>
        <w:pStyle w:val="Heading1"/>
      </w:pPr>
      <w:r>
        <w:t>Methods</w:t>
      </w:r>
    </w:p>
    <w:p>
      <w:r>
        <w:t>Survey-weighted linear regression. Adjusted for age, sex, smoking, alcohol and (where not collinear) BMI. Adjustment for this exposure: Age, years, Male sex, Ever smoking (past/current), Ever alcohol (past/current). Continuous exposures modeled per 1-SD. Multiplicity controlled with the Benjamini-Hochberg false discovery rate across the matrix.</w:t>
      </w:r>
    </w:p>
    <w:p>
      <w:pPr>
        <w:pStyle w:val="Heading1"/>
      </w:pPr>
      <w:r>
        <w:t>Association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1234"/>
        <w:gridCol w:w="1234"/>
        <w:gridCol w:w="1234"/>
        <w:gridCol w:w="1234"/>
        <w:gridCol w:w="1234"/>
        <w:gridCol w:w="1234"/>
        <w:gridCol w:w="1234"/>
      </w:tblGrid>
      <w:tr>
        <w:tc>
          <w:tcPr>
            <w:tcW w:type="dxa" w:w="1234"/>
          </w:tcPr>
          <w:p>
            <w:r>
              <w:t>Exposure</w:t>
            </w:r>
          </w:p>
        </w:tc>
        <w:tc>
          <w:tcPr>
            <w:tcW w:type="dxa" w:w="1234"/>
          </w:tcPr>
          <w:p>
            <w:r>
              <w:t>Outcome</w:t>
            </w:r>
          </w:p>
        </w:tc>
        <w:tc>
          <w:tcPr>
            <w:tcW w:type="dxa" w:w="1234"/>
          </w:tcPr>
          <w:p>
            <w:r>
              <w:t>Measure</w:t>
            </w:r>
          </w:p>
        </w:tc>
        <w:tc>
          <w:tcPr>
            <w:tcW w:type="dxa" w:w="1234"/>
          </w:tcPr>
          <w:p>
            <w:r>
              <w:t>Adjusted estimate (95% CI)</w:t>
            </w:r>
          </w:p>
        </w:tc>
        <w:tc>
          <w:tcPr>
            <w:tcW w:type="dxa" w:w="1234"/>
          </w:tcPr>
          <w:p>
            <w:r>
              <w:t>p</w:t>
            </w:r>
          </w:p>
        </w:tc>
        <w:tc>
          <w:tcPr>
            <w:tcW w:type="dxa" w:w="1234"/>
          </w:tcPr>
          <w:p>
            <w:r>
              <w:t>FDR q</w:t>
            </w:r>
          </w:p>
        </w:tc>
        <w:tc>
          <w:tcPr>
            <w:tcW w:type="dxa" w:w="1234"/>
          </w:tcPr>
          <w:p>
            <w:r>
              <w:t>N</w:t>
            </w:r>
          </w:p>
        </w:tc>
      </w:tr>
      <w:tr>
        <w:tc>
          <w:tcPr>
            <w:tcW w:type="dxa" w:w="1234"/>
          </w:tcPr>
          <w:p>
            <w:r>
              <w:t>Hemoglobin, g/dL</w:t>
            </w:r>
          </w:p>
        </w:tc>
        <w:tc>
          <w:tcPr>
            <w:tcW w:type="dxa" w:w="1234"/>
          </w:tcPr>
          <w:p>
            <w:r>
              <w:t>Body fat, %</w:t>
            </w:r>
          </w:p>
        </w:tc>
        <w:tc>
          <w:tcPr>
            <w:tcW w:type="dxa" w:w="1234"/>
          </w:tcPr>
          <w:p>
            <w:r>
              <w:t>beta</w:t>
            </w:r>
          </w:p>
        </w:tc>
        <w:tc>
          <w:tcPr>
            <w:tcW w:type="dxa" w:w="1234"/>
          </w:tcPr>
          <w:p>
            <w:r>
              <w:t>0.35 (95% CI 0.11 to 0.58)</w:t>
            </w:r>
          </w:p>
        </w:tc>
        <w:tc>
          <w:tcPr>
            <w:tcW w:type="dxa" w:w="1234"/>
          </w:tcPr>
          <w:p>
            <w:r>
              <w:t>0.005</w:t>
            </w:r>
          </w:p>
        </w:tc>
        <w:tc>
          <w:tcPr>
            <w:tcW w:type="dxa" w:w="1234"/>
          </w:tcPr>
          <w:p>
            <w:r>
              <w:t>0.008</w:t>
            </w:r>
          </w:p>
        </w:tc>
        <w:tc>
          <w:tcPr>
            <w:tcW w:type="dxa" w:w="1234"/>
          </w:tcPr>
          <w:p>
            <w:r>
              <w:t>8785</w:t>
            </w:r>
          </w:p>
        </w:tc>
      </w:tr>
    </w:tbl>
    <w:p>
      <w:pPr>
        <w:pStyle w:val="Heading1"/>
      </w:pPr>
      <w:r>
        <w:t>Descriptive (weighted)</w:t>
      </w:r>
    </w:p>
    <w:tbl>
      <w:tblPr>
        <w:tblStyle w:val="LightGrid-Accent1"/>
        <w:tblW w:type="auto" w:w="0"/>
        <w:tblLook w:firstColumn="1" w:firstRow="1" w:lastColumn="0" w:lastRow="0" w:noHBand="0" w:noVBand="1" w:val="04A0"/>
      </w:tblPr>
      <w:tblGrid>
        <w:gridCol w:w="4320"/>
        <w:gridCol w:w="4320"/>
      </w:tblGrid>
      <w:tr>
        <w:tc>
          <w:tcPr>
            <w:tcW w:type="dxa" w:w="4320"/>
          </w:tcPr>
          <w:p>
            <w:r>
              <w:t>Variable</w:t>
            </w:r>
          </w:p>
        </w:tc>
        <w:tc>
          <w:tcPr>
            <w:tcW w:type="dxa" w:w="4320"/>
          </w:tcPr>
          <w:p>
            <w:r>
              <w:t>Overall</w:t>
            </w:r>
          </w:p>
        </w:tc>
      </w:tr>
      <w:tr>
        <w:tc>
          <w:tcPr>
            <w:tcW w:type="dxa" w:w="4320"/>
          </w:tcPr>
          <w:p>
            <w:r>
              <w:t>Hemoglobin, g/dL (exposure)</w:t>
            </w:r>
          </w:p>
        </w:tc>
        <w:tc>
          <w:tcPr>
            <w:tcW w:type="dxa" w:w="4320"/>
          </w:tcPr>
          <w:p>
            <w:r>
              <w:t>14.4</w:t>
            </w:r>
          </w:p>
        </w:tc>
      </w:tr>
      <w:tr>
        <w:tc>
          <w:tcPr>
            <w:tcW w:type="dxa" w:w="4320"/>
          </w:tcPr>
          <w:p>
            <w:r>
              <w:t>Age, years</w:t>
            </w:r>
          </w:p>
        </w:tc>
        <w:tc>
          <w:tcPr>
            <w:tcW w:type="dxa" w:w="4320"/>
          </w:tcPr>
          <w:p>
            <w:r>
              <w:t>40.3</w:t>
            </w:r>
          </w:p>
        </w:tc>
      </w:tr>
      <w:tr>
        <w:tc>
          <w:tcPr>
            <w:tcW w:type="dxa" w:w="4320"/>
          </w:tcPr>
          <w:p>
            <w:r>
              <w:t>Male sex</w:t>
            </w:r>
          </w:p>
        </w:tc>
        <w:tc>
          <w:tcPr>
            <w:tcW w:type="dxa" w:w="4320"/>
          </w:tcPr>
          <w:p>
            <w:r>
              <w:t>50.1%</w:t>
            </w:r>
          </w:p>
        </w:tc>
      </w:tr>
      <w:tr>
        <w:tc>
          <w:tcPr>
            <w:tcW w:type="dxa" w:w="4320"/>
          </w:tcPr>
          <w:p>
            <w:r>
              <w:t>Ever smoking (past/current)</w:t>
            </w:r>
          </w:p>
        </w:tc>
        <w:tc>
          <w:tcPr>
            <w:tcW w:type="dxa" w:w="4320"/>
          </w:tcPr>
          <w:p>
            <w:r>
              <w:t>43.2%</w:t>
            </w:r>
          </w:p>
        </w:tc>
      </w:tr>
      <w:tr>
        <w:tc>
          <w:tcPr>
            <w:tcW w:type="dxa" w:w="4320"/>
          </w:tcPr>
          <w:p>
            <w:r>
              <w:t>Ever alcohol (past/current)</w:t>
            </w:r>
          </w:p>
        </w:tc>
        <w:tc>
          <w:tcPr>
            <w:tcW w:type="dxa" w:w="4320"/>
          </w:tcPr>
          <w:p>
            <w:r>
              <w:t>81.8%</w:t>
            </w:r>
          </w:p>
        </w:tc>
      </w:tr>
    </w:tbl>
    <w:p>
      <w:r>
        <w:t>Statistics are deterministic survey-weighted estimates (R survey). All findings are hypothesis-generating.</w:t>
      </w:r>
    </w:p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