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Body mass index, kg/m2 (beta coefficient 0.36 (95% CI -0.12 to 0.83), false discovery rate q 0.181)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0.36 (95% CI -0.12 to 0.83)</w:t>
            </w:r>
          </w:p>
        </w:tc>
        <w:tc>
          <w:tcPr>
            <w:tcW w:type="dxa" w:w="1234"/>
          </w:tcPr>
          <w:p>
            <w:r>
              <w:t>0.144</w:t>
            </w:r>
          </w:p>
        </w:tc>
        <w:tc>
          <w:tcPr>
            <w:tcW w:type="dxa" w:w="1234"/>
          </w:tcPr>
          <w:p>
            <w:r>
              <w:t>0.181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