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Serum 25(OH)D, ng/mL and Body mass index, kg/m2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Serum 25(OH)D, ng/mL was inversely associated with Body mass index, kg/m2 (beta coefficient per 1-SD -1.33 (95% CI -1.45 to -1.20), false discovery rate q &lt;0.001) among 26491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Serum 25(OH)D, ng/mL</w:t>
            </w:r>
          </w:p>
        </w:tc>
        <w:tc>
          <w:tcPr>
            <w:tcW w:type="dxa" w:w="1234"/>
          </w:tcPr>
          <w:p>
            <w:r>
              <w:t>Body mass index, kg/m2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-1.33 (95% CI -1.45 to -1.20)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26491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Serum 25(OH)D, ng/mL (exposure)</w:t>
            </w:r>
          </w:p>
        </w:tc>
        <w:tc>
          <w:tcPr>
            <w:tcW w:type="dxa" w:w="4320"/>
          </w:tcPr>
          <w:p>
            <w:r>
              <w:t>28.2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47.4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48.0%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