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Body mass index, kg/m2 (beta coefficient per 1-SD 0.16 (95% CI -0.03 to 0.36), false discovery rate q 0.124)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0.16 (95% CI -0.03 to 0.36)</w:t>
            </w:r>
          </w:p>
        </w:tc>
        <w:tc>
          <w:tcPr>
            <w:tcW w:type="dxa" w:w="1234"/>
          </w:tcPr>
          <w:p>
            <w:r>
              <w:t>0.095</w:t>
            </w:r>
          </w:p>
        </w:tc>
        <w:tc>
          <w:tcPr>
            <w:tcW w:type="dxa" w:w="1234"/>
          </w:tcPr>
          <w:p>
            <w:r>
              <w:t>0.124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