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Body mass index,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cholesterol, mg/dL was positively associated with Body mass index, kg/m2 (beta coefficient per 1-SD 0.00 (95% CI -0.12 to 0.12), false discovery rate q 0.978) among 26491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-0.12 to 0.12)</w:t>
            </w:r>
          </w:p>
        </w:tc>
        <w:tc>
          <w:tcPr>
            <w:tcW w:type="dxa" w:w="1234"/>
          </w:tcPr>
          <w:p>
            <w:r>
              <w:t>0.973</w:t>
            </w:r>
          </w:p>
        </w:tc>
        <w:tc>
          <w:tcPr>
            <w:tcW w:type="dxa" w:w="1234"/>
          </w:tcPr>
          <w:p>
            <w:r>
              <w:t>0.978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cholesterol, mg/dL (exposure)</w:t>
            </w:r>
          </w:p>
        </w:tc>
        <w:tc>
          <w:tcPr>
            <w:tcW w:type="dxa" w:w="4320"/>
          </w:tcPr>
          <w:p>
            <w:r>
              <w:t>193.8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