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inversely associated with Central obesity (WHtR&gt;=0.5) (odds ratio 0.79 (95% CI 0.70 to 0.90), false discovery rate q &lt;0.001) among 25250 adults aged 20 years or older (a weighted Central obesity (WHtR&gt;=0.5) prevalence of 81.1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0.79 (95% CI 0.70 to 0.90)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19.6%</w:t>
            </w:r>
          </w:p>
        </w:tc>
        <w:tc>
          <w:tcPr>
            <w:tcW w:type="dxa" w:w="2160"/>
          </w:tcPr>
          <w:p>
            <w:r>
              <w:t>24.7%</w:t>
            </w:r>
          </w:p>
        </w:tc>
        <w:tc>
          <w:tcPr>
            <w:tcW w:type="dxa" w:w="2160"/>
          </w:tcPr>
          <w:p>
            <w:r>
              <w:t>18.4%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