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Liver stiffness, kPa and Central obesity (WHtR&gt;=0.5)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Liver stiffness, kPa was positively associated with Central obesity (WHtR&gt;=0.5) (odds ratio per 1-SD 1.58 (95% CI 0.91 to 2.72), false discovery rate q 0.168) among 25250 adults aged 20 years or older (a weighted Central obesity (WHtR&gt;=0.5) prevalence of 81.1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Liver stiffness, kPa</w:t>
            </w:r>
          </w:p>
        </w:tc>
        <w:tc>
          <w:tcPr>
            <w:tcW w:type="dxa" w:w="1234"/>
          </w:tcPr>
          <w:p>
            <w:r>
              <w:t>Central obesity (WHtR&gt;=0.5)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1.58 (95% CI 0.91 to 2.72)</w:t>
            </w:r>
          </w:p>
        </w:tc>
        <w:tc>
          <w:tcPr>
            <w:tcW w:type="dxa" w:w="1234"/>
          </w:tcPr>
          <w:p>
            <w:r>
              <w:t>0.132</w:t>
            </w:r>
          </w:p>
        </w:tc>
        <w:tc>
          <w:tcPr>
            <w:tcW w:type="dxa" w:w="1234"/>
          </w:tcPr>
          <w:p>
            <w:r>
              <w:t>0.168</w:t>
            </w:r>
          </w:p>
        </w:tc>
        <w:tc>
          <w:tcPr>
            <w:tcW w:type="dxa" w:w="1234"/>
          </w:tcPr>
          <w:p>
            <w:r>
              <w:t>25250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Central obesity (WHtR&gt;=0.5)</w:t>
            </w:r>
          </w:p>
        </w:tc>
        <w:tc>
          <w:tcPr>
            <w:tcW w:type="dxa" w:w="2160"/>
          </w:tcPr>
          <w:p>
            <w:r>
              <w:t>Central obesity (WHtR&gt;=0.5)</w:t>
            </w:r>
          </w:p>
        </w:tc>
      </w:tr>
      <w:tr>
        <w:tc>
          <w:tcPr>
            <w:tcW w:type="dxa" w:w="2160"/>
          </w:tcPr>
          <w:p>
            <w:r>
              <w:t>Liver stiffness, kPa (exposure)</w:t>
            </w:r>
          </w:p>
        </w:tc>
        <w:tc>
          <w:tcPr>
            <w:tcW w:type="dxa" w:w="2160"/>
          </w:tcPr>
          <w:p>
            <w:r>
              <w:t>6.0</w:t>
            </w:r>
          </w:p>
        </w:tc>
        <w:tc>
          <w:tcPr>
            <w:tcW w:type="dxa" w:w="2160"/>
          </w:tcPr>
          <w:p>
            <w:r>
              <w:t>5.0</w:t>
            </w:r>
          </w:p>
        </w:tc>
        <w:tc>
          <w:tcPr>
            <w:tcW w:type="dxa" w:w="2160"/>
          </w:tcPr>
          <w:p>
            <w:r>
              <w:t>6.2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37.8</w:t>
            </w:r>
          </w:p>
        </w:tc>
        <w:tc>
          <w:tcPr>
            <w:tcW w:type="dxa" w:w="2160"/>
          </w:tcPr>
          <w:p>
            <w:r>
              <w:t>49.3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40.7%</w:t>
            </w:r>
          </w:p>
        </w:tc>
        <w:tc>
          <w:tcPr>
            <w:tcW w:type="dxa" w:w="2160"/>
          </w:tcPr>
          <w:p>
            <w:r>
              <w:t>43.8%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84.6%</w:t>
            </w:r>
          </w:p>
        </w:tc>
        <w:tc>
          <w:tcPr>
            <w:tcW w:type="dxa" w:w="2160"/>
          </w:tcPr>
          <w:p>
            <w:r>
              <w:t>80.2%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