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Triglycerides, mg/dL and Central obesity (WHtR&gt;=0.5)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Triglycerides, mg/dL was positively associated with Central obesity (WHtR&gt;=0.5) (odds ratio per 1-SD 4.15 (95% CI 3.28 to 5.25), false discovery rate q &lt;0.001) among 25250 adults aged 20 years or older (a weighted Central obesity (WHtR&gt;=0.5) prevalence of 81.1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4.15 (95% CI 3.28 to 5.25)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25250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Central obesity (WHtR&gt;=0.5)</w:t>
            </w:r>
          </w:p>
        </w:tc>
        <w:tc>
          <w:tcPr>
            <w:tcW w:type="dxa" w:w="2160"/>
          </w:tcPr>
          <w:p>
            <w:r>
              <w:t>Central obesity (WHtR&gt;=0.5)</w:t>
            </w:r>
          </w:p>
        </w:tc>
      </w:tr>
      <w:tr>
        <w:tc>
          <w:tcPr>
            <w:tcW w:type="dxa" w:w="2160"/>
          </w:tcPr>
          <w:p>
            <w:r>
              <w:t>Triglycerides, mg/dL (exposure)</w:t>
            </w:r>
          </w:p>
        </w:tc>
        <w:tc>
          <w:tcPr>
            <w:tcW w:type="dxa" w:w="2160"/>
          </w:tcPr>
          <w:p>
            <w:r>
              <w:t>124.2</w:t>
            </w:r>
          </w:p>
        </w:tc>
        <w:tc>
          <w:tcPr>
            <w:tcW w:type="dxa" w:w="2160"/>
          </w:tcPr>
          <w:p>
            <w:r>
              <w:t>82.8</w:t>
            </w:r>
          </w:p>
        </w:tc>
        <w:tc>
          <w:tcPr>
            <w:tcW w:type="dxa" w:w="2160"/>
          </w:tcPr>
          <w:p>
            <w:r>
              <w:t>133.7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37.8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40.7%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84.6%</w:t>
            </w:r>
          </w:p>
        </w:tc>
        <w:tc>
          <w:tcPr>
            <w:tcW w:type="dxa" w:w="2160"/>
          </w:tcPr>
          <w:p>
            <w:r>
              <w:t>80.2%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