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Chronic kidney disease (KDIGO: eGFR&lt;60 or ACR&gt;=30) (odds ratio 0.98 (95% CI 0.87 to 1.09), false discovery rate q 0.736)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0.87 to 1.09)</w:t>
            </w:r>
          </w:p>
        </w:tc>
        <w:tc>
          <w:tcPr>
            <w:tcW w:type="dxa" w:w="1234"/>
          </w:tcPr>
          <w:p>
            <w:r>
              <w:t>0.696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  <w:tc>
          <w:tcPr>
            <w:tcW w:type="dxa" w:w="2160"/>
          </w:tcPr>
          <w:p>
            <w:r>
              <w:t>68.6%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