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Chronic kidney disease (KDIGO: eGFR&lt;60 or ACR&gt;=30) (odds ratio per 1-SD 1.00 (95% CI 0.96 to 1.05), false discovery rate q 0.937)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0.96 to 1.05)</w:t>
            </w:r>
          </w:p>
        </w:tc>
        <w:tc>
          <w:tcPr>
            <w:tcW w:type="dxa" w:w="1234"/>
          </w:tcPr>
          <w:p>
            <w:r>
              <w:t>0.928</w:t>
            </w:r>
          </w:p>
        </w:tc>
        <w:tc>
          <w:tcPr>
            <w:tcW w:type="dxa" w:w="1234"/>
          </w:tcPr>
          <w:p>
            <w:r>
              <w:t>0.937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