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Chronic kidney disease (KDIGO: eGFR&lt;60 or ACR&gt;=30) (odds ratio per 1-SD 1.02 (95% CI 0.85 to 1.23), false discovery rate q 0.848)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0.85 to 1.23)</w:t>
            </w:r>
          </w:p>
        </w:tc>
        <w:tc>
          <w:tcPr>
            <w:tcW w:type="dxa" w:w="1234"/>
          </w:tcPr>
          <w:p>
            <w:r>
              <w:t>0.823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