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fat, % and Chronic kidney disease (KDIGO: eGFR&lt;60 or ACR&gt;=30)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Body fat, % was inversely associated with Chronic kidney disease (KDIGO: eGFR&lt;60 or ACR&gt;=30) (odds ratio per 1-SD 0.87 (95% CI 0.74 to 1.02), false discovery rate q 0.130) among 26551 adults aged 20 years or older (a weighted Chronic kidney disease (KDIGO: eGFR&lt;60 or ACR&gt;=30) prevalence of 13.1 percent, survey-weighted). Confounders: Age, years, Male sex, Ever smoking (past/current), Ever alcohol (past/current), Diabetes mellitus, Hypertension.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smoking, alcohol, diabetes and hypertension (major kidney-disease risk factors). Adjustment for this exposure: Age, years, Male sex, Ever smoking (past/current), Ever alcohol (past/current), Diabetes mellitus, Hypertension.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0.87 (95% CI 0.74 to 1.02)</w:t>
            </w:r>
          </w:p>
        </w:tc>
        <w:tc>
          <w:tcPr>
            <w:tcW w:type="dxa" w:w="1234"/>
          </w:tcPr>
          <w:p>
            <w:r>
              <w:t>0.100</w:t>
            </w:r>
          </w:p>
        </w:tc>
        <w:tc>
          <w:tcPr>
            <w:tcW w:type="dxa" w:w="1234"/>
          </w:tcPr>
          <w:p>
            <w:r>
              <w:t>0.130</w:t>
            </w:r>
          </w:p>
        </w:tc>
        <w:tc>
          <w:tcPr>
            <w:tcW w:type="dxa" w:w="1234"/>
          </w:tcPr>
          <w:p>
            <w:r>
              <w:t>26551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Chronic kidney disease (KDIGO: eGFR&lt;60 or ACR&gt;=30)</w:t>
            </w:r>
          </w:p>
        </w:tc>
        <w:tc>
          <w:tcPr>
            <w:tcW w:type="dxa" w:w="2160"/>
          </w:tcPr>
          <w:p>
            <w:r>
              <w:t>Chronic kidney disease (KDIGO: eGFR&lt;60 or ACR&gt;=30)</w:t>
            </w:r>
          </w:p>
        </w:tc>
      </w:tr>
      <w:tr>
        <w:tc>
          <w:tcPr>
            <w:tcW w:type="dxa" w:w="2160"/>
          </w:tcPr>
          <w:p>
            <w:r>
              <w:t>Body fat, % (exposure)</w:t>
            </w:r>
          </w:p>
        </w:tc>
        <w:tc>
          <w:tcPr>
            <w:tcW w:type="dxa" w:w="2160"/>
          </w:tcPr>
          <w:p>
            <w:r>
              <w:t>33.1</w:t>
            </w:r>
          </w:p>
        </w:tc>
        <w:tc>
          <w:tcPr>
            <w:tcW w:type="dxa" w:w="2160"/>
          </w:tcPr>
          <w:p>
            <w:r>
              <w:t>33.0</w:t>
            </w:r>
          </w:p>
        </w:tc>
        <w:tc>
          <w:tcPr>
            <w:tcW w:type="dxa" w:w="2160"/>
          </w:tcPr>
          <w:p>
            <w:r>
              <w:t>34.6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59.9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30.2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74.2%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12.5%</w:t>
            </w:r>
          </w:p>
        </w:tc>
        <w:tc>
          <w:tcPr>
            <w:tcW w:type="dxa" w:w="2160"/>
          </w:tcPr>
          <w:p>
            <w:r>
              <w:t>9.3%</w:t>
            </w:r>
          </w:p>
        </w:tc>
        <w:tc>
          <w:tcPr>
            <w:tcW w:type="dxa" w:w="2160"/>
          </w:tcPr>
          <w:p>
            <w:r>
              <w:t>33.2%</w:t>
            </w:r>
          </w:p>
        </w:tc>
      </w:tr>
      <w:tr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36.2%</w:t>
            </w:r>
          </w:p>
        </w:tc>
        <w:tc>
          <w:tcPr>
            <w:tcW w:type="dxa" w:w="2160"/>
          </w:tcPr>
          <w:p>
            <w:r>
              <w:t>31.3%</w:t>
            </w:r>
          </w:p>
        </w:tc>
        <w:tc>
          <w:tcPr>
            <w:tcW w:type="dxa" w:w="2160"/>
          </w:tcPr>
          <w:p>
            <w:r>
              <w:t>67.9%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