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inversely associated with Chronic kidney disease (KDIGO: eGFR&lt;60 or ACR&gt;=30) (odds ratio per 1-SD 0.90 (95% CI 0.80 to 1.02), false discovery rate q 0.175)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0.80 to 1.02)</w:t>
            </w:r>
          </w:p>
        </w:tc>
        <w:tc>
          <w:tcPr>
            <w:tcW w:type="dxa" w:w="1234"/>
          </w:tcPr>
          <w:p>
            <w:r>
              <w:t>0.139</w:t>
            </w:r>
          </w:p>
        </w:tc>
        <w:tc>
          <w:tcPr>
            <w:tcW w:type="dxa" w:w="1234"/>
          </w:tcPr>
          <w:p>
            <w:r>
              <w:t>0.175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262.8</w:t>
            </w:r>
          </w:p>
        </w:tc>
        <w:tc>
          <w:tcPr>
            <w:tcW w:type="dxa" w:w="2160"/>
          </w:tcPr>
          <w:p>
            <w:r>
              <w:t>260.5</w:t>
            </w:r>
          </w:p>
        </w:tc>
        <w:tc>
          <w:tcPr>
            <w:tcW w:type="dxa" w:w="2160"/>
          </w:tcPr>
          <w:p>
            <w:r>
              <w:t>277.1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