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positively associated with Chronic kidney disease (KDIGO: eGFR&lt;60 or ACR&gt;=30) (odds ratio 1.24 (95% CI 1.07 to 1.44), false discovery rate q 0.009) among 26551 adults aged 20 years or older (a weighted Chronic kidney disease (KDIGO: eGFR&lt;60 or ACR&gt;=30) prevalence of 13.1 percent, survey-weighted). Confounders: Age, years, Male sex, Body mass index, kg/m2,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1.24 (95% CI 1.07 to 1.44)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19.4%</w:t>
            </w:r>
          </w:p>
        </w:tc>
        <w:tc>
          <w:tcPr>
            <w:tcW w:type="dxa" w:w="2160"/>
          </w:tcPr>
          <w:p>
            <w:r>
              <w:t>19.7%</w:t>
            </w:r>
          </w:p>
        </w:tc>
        <w:tc>
          <w:tcPr>
            <w:tcW w:type="dxa" w:w="2160"/>
          </w:tcPr>
          <w:p>
            <w:r>
              <w:t>17.5%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