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Chronic kidney disease (KDIGO: eGFR&lt;60 or ACR&gt;=30) (odds ratio 1.07 (95% CI 0.89 to 1.29), false discovery rate q 0.510)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0.89 to 1.29)</w:t>
            </w:r>
          </w:p>
        </w:tc>
        <w:tc>
          <w:tcPr>
            <w:tcW w:type="dxa" w:w="1234"/>
          </w:tcPr>
          <w:p>
            <w:r>
              <w:t>0.451</w:t>
            </w:r>
          </w:p>
        </w:tc>
        <w:tc>
          <w:tcPr>
            <w:tcW w:type="dxa" w:w="1234"/>
          </w:tcPr>
          <w:p>
            <w:r>
              <w:t>0.510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