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Chronic kidney disease (KDIGO: eGFR&lt;60 or ACR&gt;=30) (odds ratio 1.16 (95% CI 0.94 to 1.43), false discovery rate q 0.203)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0.94 to 1.43)</w:t>
            </w:r>
          </w:p>
        </w:tc>
        <w:tc>
          <w:tcPr>
            <w:tcW w:type="dxa" w:w="1234"/>
          </w:tcPr>
          <w:p>
            <w:r>
              <w:t>0.163</w:t>
            </w:r>
          </w:p>
        </w:tc>
        <w:tc>
          <w:tcPr>
            <w:tcW w:type="dxa" w:w="1234"/>
          </w:tcPr>
          <w:p>
            <w:r>
              <w:t>0.203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