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Chronic kidney disease (KDIGO: eGFR&lt;60 or ACR&gt;=30) (odds ratio 0.82 (95% CI 0.73 to 0.92), false discovery rate q 0.001) among 26551 adults aged 20 years or older (a weighted Chronic kidney disease (KDIGO: eGFR&lt;60 or ACR&gt;=30) prevalence of 13.1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0.73 to 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