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Chronic kidney disease (KDIGO: eGFR&lt;60 or ACR&gt;=30)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Chronic kidney disease (KDIGO: eGFR&lt;60 or ACR&gt;=30) (odds ratio per 1-SD 1.41 (95% CI 1.31 to 1.51), false discovery rate q &lt;0.001) among 26551 adults aged 20 years or older (a weighted Chronic kidney disease (KDIGO: eGFR&lt;60 or ACR&gt;=30) prevalence of 13.1 percent, survey-weighted). Confounders: Age, years, Male sex, Body mass index, kg/m2, Ever smoking (past/current), Ever alcohol (past/current),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1.31 to 1.51)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26551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104.1</w:t>
            </w:r>
          </w:p>
        </w:tc>
        <w:tc>
          <w:tcPr>
            <w:tcW w:type="dxa" w:w="2160"/>
          </w:tcPr>
          <w:p>
            <w:r>
              <w:t>125.7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59.9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30.2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74.2%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33.2%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36.2%</w:t>
            </w:r>
          </w:p>
        </w:tc>
        <w:tc>
          <w:tcPr>
            <w:tcW w:type="dxa" w:w="2160"/>
          </w:tcPr>
          <w:p>
            <w:r>
              <w:t>31.3%</w:t>
            </w:r>
          </w:p>
        </w:tc>
        <w:tc>
          <w:tcPr>
            <w:tcW w:type="dxa" w:w="2160"/>
          </w:tcPr>
          <w:p>
            <w:r>
              <w:t>67.9%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