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Chronic kidney disease (KDIGO: eGFR&lt;60 or ACR&gt;=30) (odds ratio per 1-SD of log 1.15 (95% CI 1.04 to 1.27), false discovery rate q 0.010) among 26551 adults aged 20 years or older (a weighted Chronic kidney disease (KDIGO: eGFR&lt;60 or ACR&gt;=30) prevalence of 13.1 percent, survey-weighted). Confounders: Age, years, Male sex, Body mass index, kg/m2, Ever smoking (past/current), Ever alcohol (past/current),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Hypertension.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1.04 to 1.27)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  <w:tc>
          <w:tcPr>
            <w:tcW w:type="dxa" w:w="2160"/>
          </w:tcPr>
          <w:p>
            <w:r>
              <w:t>12.9</w:t>
            </w:r>
          </w:p>
        </w:tc>
        <w:tc>
          <w:tcPr>
            <w:tcW w:type="dxa" w:w="2160"/>
          </w:tcPr>
          <w:p>
            <w:r>
              <w:t>17.7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