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Chronic kidney disease (KDIGO: eGFR&lt;60 or ACR&gt;=30) (odds ratio per 1-SD 0.98 (95% CI 0.89 to 1.07), false discovery rate q 0.662)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0.89 to 1.07)</w:t>
            </w:r>
          </w:p>
        </w:tc>
        <w:tc>
          <w:tcPr>
            <w:tcW w:type="dxa" w:w="1234"/>
          </w:tcPr>
          <w:p>
            <w:r>
              <w:t>0.613</w:t>
            </w:r>
          </w:p>
        </w:tc>
        <w:tc>
          <w:tcPr>
            <w:tcW w:type="dxa" w:w="1234"/>
          </w:tcPr>
          <w:p>
            <w:r>
              <w:t>0.662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