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Chronic kidney disease (KDIGO: eGFR&lt;60 or ACR&gt;=30) (odds ratio per 1-SD 0.85 (95% CI 0.78 to 0.92), false discovery rate q &lt;0.001)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0.78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168.8</w:t>
            </w:r>
          </w:p>
        </w:tc>
        <w:tc>
          <w:tcPr>
            <w:tcW w:type="dxa" w:w="2160"/>
          </w:tcPr>
          <w:p>
            <w:r>
              <w:t>165.6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