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Chronic kidney disease (KDIGO: eGFR&lt;60 or ACR&gt;=30) (odds ratio 1.06 (95% CI 0.90 to 1.24), false discovery rate q 0.561)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0.90 to 1.24)</w:t>
            </w:r>
          </w:p>
        </w:tc>
        <w:tc>
          <w:tcPr>
            <w:tcW w:type="dxa" w:w="1234"/>
          </w:tcPr>
          <w:p>
            <w:r>
              <w:t>0.503</w:t>
            </w:r>
          </w:p>
        </w:tc>
        <w:tc>
          <w:tcPr>
            <w:tcW w:type="dxa" w:w="1234"/>
          </w:tcPr>
          <w:p>
            <w:r>
              <w:t>0.561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