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Chronic kidney disease (KDIGO: eGFR&lt;60 or ACR&gt;=30) (odds ratio 1.30 (95% CI 1.11 to 1.53), false discovery rate q 0.003) among 26551 adults aged 20 years or older (a weighted Chronic kidney disease (KDIGO: eGFR&lt;60 or ACR&gt;=30) prevalence of 13.1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1.11 to 1.53)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46.2%</w:t>
            </w:r>
          </w:p>
        </w:tc>
        <w:tc>
          <w:tcPr>
            <w:tcW w:type="dxa" w:w="2160"/>
          </w:tcPr>
          <w:p>
            <w:r>
              <w:t>58.9%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