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Chronic kidney disease (KDIGO: eGFR&lt;60 or ACR&gt;=30) (odds ratio per 1-SD 0.87 (95% CI 0.80 to 0.94), false discovery rate q 0.002)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0.80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114.7</w:t>
            </w:r>
          </w:p>
        </w:tc>
        <w:tc>
          <w:tcPr>
            <w:tcW w:type="dxa" w:w="2160"/>
          </w:tcPr>
          <w:p>
            <w:r>
              <w:t>106.5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