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positively associated with Chronic kidney disease (KDIGO: eGFR&lt;60 or ACR&gt;=30) (odds ratio 1.65 (95% CI 1.06 to 2.57), false discovery rate q 0.043) among 26551 adults aged 20 years or older (a weighted Chronic kidney disease (KDIGO: eGFR&lt;60 or ACR&gt;=30) prevalence of 13.1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1.65 (95% CI 1.06 to 2.57)</w:t>
            </w:r>
          </w:p>
        </w:tc>
        <w:tc>
          <w:tcPr>
            <w:tcW w:type="dxa" w:w="1234"/>
          </w:tcPr>
          <w:p>
            <w:r>
              <w:t>0.030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