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Metabolic syndrome was positively associated with Chronic kidney disease (KDIGO: eGFR&lt;60 or ACR&gt;=30) (odds ratio 1.12 (95% CI 0.93 to 1.35), false discovery rate q 0.283) among 26551 adults aged 20 years or older (a weighted Chronic kidney disease (KDIGO: eGFR&lt;60 or ACR&gt;=30) prevalence of 13.1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1.12 (95% CI 0.93 to 1.35)</w:t>
            </w:r>
          </w:p>
        </w:tc>
        <w:tc>
          <w:tcPr>
            <w:tcW w:type="dxa" w:w="1234"/>
          </w:tcPr>
          <w:p>
            <w:r>
              <w:t>0.234</w:t>
            </w:r>
          </w:p>
        </w:tc>
        <w:tc>
          <w:tcPr>
            <w:tcW w:type="dxa" w:w="1234"/>
          </w:tcPr>
          <w:p>
            <w:r>
              <w:t>0.283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Metabolic syndrome (exposure)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34.4%</w:t>
            </w:r>
          </w:p>
        </w:tc>
        <w:tc>
          <w:tcPr>
            <w:tcW w:type="dxa" w:w="2160"/>
          </w:tcPr>
          <w:p>
            <w:r>
              <w:t>58.9%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