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Chronic kidney disease (KDIGO: eGFR&lt;60 or ACR&gt;=30) (odds ratio per 1-SD 0.97 (95% CI 0.91 to 1.02), false discovery rate q 0.279)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0.91 to 1.02)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0.279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140.3</w:t>
            </w:r>
          </w:p>
        </w:tc>
        <w:tc>
          <w:tcPr>
            <w:tcW w:type="dxa" w:w="2160"/>
          </w:tcPr>
          <w:p>
            <w:r>
              <w:t>137.7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