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Chronic kidney disease (KDIGO: eGFR&lt;60 or ACR&gt;=30) (odds ratio 1.20 (95% CI 0.92 to 1.56), false discovery rate q 0.237)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0.92 to 1.56)</w:t>
            </w:r>
          </w:p>
        </w:tc>
        <w:tc>
          <w:tcPr>
            <w:tcW w:type="dxa" w:w="1234"/>
          </w:tcPr>
          <w:p>
            <w:r>
              <w:t>0.193</w:t>
            </w:r>
          </w:p>
        </w:tc>
        <w:tc>
          <w:tcPr>
            <w:tcW w:type="dxa" w:w="1234"/>
          </w:tcPr>
          <w:p>
            <w:r>
              <w:t>0.237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13.4%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