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inversely associated with Chronic kidney disease (KDIGO: eGFR&lt;60 or ACR&gt;=30) (odds ratio 0.90 (95% CI 0.79 to 1.03), false discovery rate q 0.163) among 26551 adults aged 20 years or older (a weighted Chronic kidney disease (KDIGO: eGFR&lt;60 or ACR&gt;=30) prevalence of 13.1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0.79 to 1.03)</w:t>
            </w:r>
          </w:p>
        </w:tc>
        <w:tc>
          <w:tcPr>
            <w:tcW w:type="dxa" w:w="1234"/>
          </w:tcPr>
          <w:p>
            <w:r>
              <w:t>0.128</w:t>
            </w:r>
          </w:p>
        </w:tc>
        <w:tc>
          <w:tcPr>
            <w:tcW w:type="dxa" w:w="1234"/>
          </w:tcPr>
          <w:p>
            <w:r>
              <w:t>0.163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70.2%</w:t>
            </w:r>
          </w:p>
        </w:tc>
        <w:tc>
          <w:tcPr>
            <w:tcW w:type="dxa" w:w="2160"/>
          </w:tcPr>
          <w:p>
            <w:r>
              <w:t>69.6%</w:t>
            </w:r>
          </w:p>
        </w:tc>
        <w:tc>
          <w:tcPr>
            <w:tcW w:type="dxa" w:w="2160"/>
          </w:tcPr>
          <w:p>
            <w:r>
              <w:t>74.5%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