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Chronic kidney disease (KDIGO: eGFR&lt;60 or ACR&gt;=30) (odds ratio per 1-SD 0.97 (95% CI 0.92 to 1.02), false discovery rate q 0.262)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1.02)</w:t>
            </w:r>
          </w:p>
        </w:tc>
        <w:tc>
          <w:tcPr>
            <w:tcW w:type="dxa" w:w="1234"/>
          </w:tcPr>
          <w:p>
            <w:r>
              <w:t>0.215</w:t>
            </w:r>
          </w:p>
        </w:tc>
        <w:tc>
          <w:tcPr>
            <w:tcW w:type="dxa" w:w="1234"/>
          </w:tcPr>
          <w:p>
            <w:r>
              <w:t>0.262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249.3</w:t>
            </w:r>
          </w:p>
        </w:tc>
        <w:tc>
          <w:tcPr>
            <w:tcW w:type="dxa" w:w="2160"/>
          </w:tcPr>
          <w:p>
            <w:r>
              <w:t>250.3</w:t>
            </w:r>
          </w:p>
        </w:tc>
        <w:tc>
          <w:tcPr>
            <w:tcW w:type="dxa" w:w="2160"/>
          </w:tcPr>
          <w:p>
            <w:r>
              <w:t>242.6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