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inversely associated with Chronic kidney disease (KDIGO: eGFR&lt;60 or ACR&gt;=30) (odds ratio 0.71 (95% CI 0.63 to 0.80), false discovery rate q &lt;0.001) among 26551 adults aged 20 years or older (a weighted Chronic kidney disease (KDIGO: eGFR&lt;60 or ACR&gt;=30) prevalence of 13.1 percent, survey-weighted). Confounders: Age, years, Male sex, Body mass index, kg/m2, Ever smoking (past/current), Ever alcohol (past/current),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0.71 (95% CI 0.63 to 0.80)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32.6%</w:t>
            </w:r>
          </w:p>
        </w:tc>
        <w:tc>
          <w:tcPr>
            <w:tcW w:type="dxa" w:w="2160"/>
          </w:tcPr>
          <w:p>
            <w:r>
              <w:t>32.6%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