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Chronic kidney disease (KDIGO: eGFR&lt;60 or ACR&gt;=30) (odds ratio per 1-SD 1.01 (95% CI 0.96 to 1.06), false discovery rate q 0.812)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0.96 to 1.06)</w:t>
            </w:r>
          </w:p>
        </w:tc>
        <w:tc>
          <w:tcPr>
            <w:tcW w:type="dxa" w:w="1234"/>
          </w:tcPr>
          <w:p>
            <w:r>
              <w:t>0.783</w:t>
            </w:r>
          </w:p>
        </w:tc>
        <w:tc>
          <w:tcPr>
            <w:tcW w:type="dxa" w:w="1234"/>
          </w:tcPr>
          <w:p>
            <w:r>
              <w:t>0.812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29.8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