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Chronic kidney disease (KDIGO: eGFR&lt;60 or ACR&gt;=30) (odds ratio per 1-SD 0.95 (95% CI 0.89 to 1.01), false discovery rate q 0.102)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0.89 to 1.01)</w:t>
            </w:r>
          </w:p>
        </w:tc>
        <w:tc>
          <w:tcPr>
            <w:tcW w:type="dxa" w:w="1234"/>
          </w:tcPr>
          <w:p>
            <w:r>
              <w:t>0.077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194.1</w:t>
            </w:r>
          </w:p>
        </w:tc>
        <w:tc>
          <w:tcPr>
            <w:tcW w:type="dxa" w:w="2160"/>
          </w:tcPr>
          <w:p>
            <w:r>
              <w:t>190.9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