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inversely associated with Chronic kidney disease (KDIGO: eGFR&lt;60 or ACR&gt;=30) (odds ratio per 1-SD 0.97 (95% CI 0.87 to 1.08), false discovery rate q 0.629) among 26551 adults aged 20 years or older (a weighted Chronic kidney disease (KDIGO: eGFR&lt;60 or ACR&gt;=30) prevalence of 13.1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0.87 to 1.08)</w:t>
            </w:r>
          </w:p>
        </w:tc>
        <w:tc>
          <w:tcPr>
            <w:tcW w:type="dxa" w:w="1234"/>
          </w:tcPr>
          <w:p>
            <w:r>
              <w:t>0.576</w:t>
            </w:r>
          </w:p>
        </w:tc>
        <w:tc>
          <w:tcPr>
            <w:tcW w:type="dxa" w:w="1234"/>
          </w:tcPr>
          <w:p>
            <w:r>
              <w:t>0.629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27.7</w:t>
            </w:r>
          </w:p>
        </w:tc>
        <w:tc>
          <w:tcPr>
            <w:tcW w:type="dxa" w:w="2160"/>
          </w:tcPr>
          <w:p>
            <w:r>
              <w:t>30.3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