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Chronic kidney disease (KDIGO: eGFR&lt;60 or ACR&gt;=30) (odds ratio per 1-SD 1.04 (95% CI 0.91 to 1.19), false discovery rate q 0.596)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0.91 to 1.19)</w:t>
            </w:r>
          </w:p>
        </w:tc>
        <w:tc>
          <w:tcPr>
            <w:tcW w:type="dxa" w:w="1234"/>
          </w:tcPr>
          <w:p>
            <w:r>
              <w:t>0.541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55.0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