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Chronic kidney disease (KDIGO: eGFR&lt;60 or ACR&gt;=30) (odds ratio per 1-SD 1.08 (95% CI 1.02 to 1.15), false discovery rate q 0.024)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1.02 to 1.15)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121.3</w:t>
            </w:r>
          </w:p>
        </w:tc>
        <w:tc>
          <w:tcPr>
            <w:tcW w:type="dxa" w:w="2160"/>
          </w:tcPr>
          <w:p>
            <w:r>
              <w:t>141.8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