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Chronic kidney disease (KDIGO: eGFR&lt;60 or ACR&gt;=30) (odds ratio per 1-SD 1.04 (95% CI 0.99 to 1.10), false discovery rate q 0.174) among 26551 adults aged 20 years or older (a weighted Chronic kidney disease (KDIGO: eGFR&lt;60 or ACR&gt;=30) prevalence of 13.1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0.99 to 1.10)</w:t>
            </w:r>
          </w:p>
        </w:tc>
        <w:tc>
          <w:tcPr>
            <w:tcW w:type="dxa" w:w="1234"/>
          </w:tcPr>
          <w:p>
            <w:r>
              <w:t>0.138</w:t>
            </w:r>
          </w:p>
        </w:tc>
        <w:tc>
          <w:tcPr>
            <w:tcW w:type="dxa" w:w="1234"/>
          </w:tcPr>
          <w:p>
            <w:r>
              <w:t>0.174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98.6</w:t>
            </w:r>
          </w:p>
        </w:tc>
        <w:tc>
          <w:tcPr>
            <w:tcW w:type="dxa" w:w="2160"/>
          </w:tcPr>
          <w:p>
            <w:r>
              <w:t>103.4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