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inversely associated with Chronic kidney disease (KDIGO: eGFR&lt;60 or ACR&gt;=30) (odds ratio per 1-SD 0.99 (95% CI 0.93 to 1.04), false discovery rate q 0.669) among 26551 adults aged 20 years or older (a weighted Chronic kidney disease (KDIGO: eGFR&lt;60 or ACR&gt;=30) prevalence of 13.1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0.93 to 1.04)</w:t>
            </w:r>
          </w:p>
        </w:tc>
        <w:tc>
          <w:tcPr>
            <w:tcW w:type="dxa" w:w="1234"/>
          </w:tcPr>
          <w:p>
            <w:r>
              <w:t>0.621</w:t>
            </w:r>
          </w:p>
        </w:tc>
        <w:tc>
          <w:tcPr>
            <w:tcW w:type="dxa" w:w="1234"/>
          </w:tcPr>
          <w:p>
            <w:r>
              <w:t>0.669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82.7</w:t>
            </w:r>
          </w:p>
        </w:tc>
        <w:tc>
          <w:tcPr>
            <w:tcW w:type="dxa" w:w="2160"/>
          </w:tcPr>
          <w:p>
            <w:r>
              <w:t>82.6</w:t>
            </w:r>
          </w:p>
        </w:tc>
        <w:tc>
          <w:tcPr>
            <w:tcW w:type="dxa" w:w="2160"/>
          </w:tcPr>
          <w:p>
            <w:r>
              <w:t>83.2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