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Controlled attenuation parameter, dB/m (beta coefficient per 1-SD 31.67 (95% CI 27.30 to 36.04),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31.67 (95% CI 27.30 to 36.04)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