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Controlled attenuation parameter, dB/m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Abdominal obesity was positively associated with Controlled attenuation parameter, dB/m (beta coefficient 62.57 (95% CI 58.09 to 67.06), false discovery rate q &lt;0.001) among 3001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62.57 (95% CI 58.09 to 67.06)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Abdominal obesity (exposure)</w:t>
            </w:r>
          </w:p>
        </w:tc>
        <w:tc>
          <w:tcPr>
            <w:tcW w:type="dxa" w:w="4320"/>
          </w:tcPr>
          <w:p>
            <w:r>
              <w:t>59.8%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