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Controlled attenuation parameter, dB/m (beta coefficient -7.75 (95% CI -17.45 to 1.95), false discovery rate q 0.190)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-7.75 (95% CI -17.45 to 1.95)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