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Controlled attenuation parameter, dB/m (beta coefficient per 1-SD 10.50 (95% CI 7.74 to 13.25), false discovery rate q &lt;0.001) among 3001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10.50 (95% CI 7.74 to 13.25)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