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Controlled attenuation parameter, dB/m (beta coefficient -19.16 (95% CI -25.44 to -12.88),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-19.16 (95% CI -25.44 to -12.88)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