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Controlled attenuation parameter, dB/m (beta coefficient per 1-SD -42.78 (95% CI -47.54 to -38.02),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-42.78 (95% CI -47.54 to -38.02)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