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Controlled attenuation parameter, dB/m (beta coefficient per 1-SD 4.39 (95% CI 1.00 to 7.79), false discovery rate q 0.046)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4.39 (95% CI 1.00 to 7.79)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